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DC5" w:rsidRDefault="007A7DC5" w:rsidP="007A7DC5">
      <w:pPr>
        <w:pStyle w:val="Heading4"/>
      </w:pPr>
      <w:bookmarkStart w:id="0" w:name="_Toc256000087"/>
      <w:r>
        <w:rPr>
          <w:noProof/>
        </w:rPr>
        <w:t>II.А.4. - Насърчаване използването на култури и сортове, устойчиви към климатичните условия</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7A7DC5"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II.А.4.</w:t>
            </w:r>
          </w:p>
        </w:tc>
      </w:tr>
      <w:tr w:rsidR="007A7DC5"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Насърчаване използването на култури и сортове, устойчиви към климатичните условия</w:t>
            </w:r>
          </w:p>
        </w:tc>
      </w:tr>
      <w:tr w:rsidR="007A7DC5"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ENVCLIM(70) - Задължения в областта на околната среда и климата и други задължения в областта на управлението</w:t>
            </w:r>
          </w:p>
        </w:tc>
      </w:tr>
      <w:tr w:rsidR="007A7DC5"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O.14. Брой на хектарите (с изключение на горите) или брой на други единици, обхванати от задължения в областта на околната среда или климата, които надхвърлят задължителните изисквания</w:t>
            </w:r>
          </w:p>
        </w:tc>
      </w:tr>
      <w:tr w:rsidR="007A7DC5"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Приемственост между поколенията: Не</w:t>
            </w:r>
          </w:p>
          <w:p w:rsidR="007A7DC5" w:rsidRDefault="007A7DC5" w:rsidP="00D16952">
            <w:pPr>
              <w:rPr>
                <w:color w:val="000000"/>
                <w:sz w:val="20"/>
              </w:rPr>
            </w:pPr>
            <w:r>
              <w:rPr>
                <w:noProof/>
                <w:color w:val="000000"/>
                <w:sz w:val="20"/>
              </w:rPr>
              <w:t>Околна среда: Да</w:t>
            </w:r>
          </w:p>
          <w:p w:rsidR="007A7DC5" w:rsidRDefault="007A7DC5" w:rsidP="00D16952">
            <w:pPr>
              <w:rPr>
                <w:color w:val="000000"/>
                <w:sz w:val="20"/>
              </w:rPr>
            </w:pPr>
            <w:r>
              <w:rPr>
                <w:noProof/>
                <w:color w:val="000000"/>
                <w:sz w:val="20"/>
              </w:rPr>
              <w:t>Система за облекчения за екосхеми: Не</w:t>
            </w:r>
          </w:p>
          <w:p w:rsidR="007A7DC5" w:rsidRDefault="007A7DC5" w:rsidP="00D16952">
            <w:pPr>
              <w:rPr>
                <w:color w:val="000000"/>
                <w:sz w:val="20"/>
              </w:rPr>
            </w:pPr>
            <w:r>
              <w:rPr>
                <w:noProof/>
                <w:color w:val="000000"/>
                <w:sz w:val="20"/>
              </w:rPr>
              <w:t>Подход LEADER: Не</w:t>
            </w:r>
          </w:p>
        </w:tc>
      </w:tr>
    </w:tbl>
    <w:p w:rsidR="007A7DC5" w:rsidRDefault="007A7DC5" w:rsidP="007A7DC5">
      <w:pPr>
        <w:pStyle w:val="Heading5"/>
        <w:rPr>
          <w:b w:val="0"/>
          <w:color w:val="000000"/>
          <w:sz w:val="24"/>
        </w:rPr>
      </w:pPr>
      <w:bookmarkStart w:id="1" w:name="_Toc256000088"/>
      <w:r>
        <w:rPr>
          <w:b w:val="0"/>
          <w:noProof/>
          <w:color w:val="000000"/>
          <w:sz w:val="24"/>
        </w:rPr>
        <w:t>1 Териториално приложение и ако е уместно, регионално измерение</w:t>
      </w:r>
      <w:bookmarkEnd w:id="1"/>
    </w:p>
    <w:p w:rsidR="007A7DC5" w:rsidRDefault="007A7DC5" w:rsidP="007A7DC5">
      <w:pPr>
        <w:rPr>
          <w:color w:val="000000"/>
          <w:sz w:val="0"/>
        </w:rPr>
      </w:pPr>
      <w:r>
        <w:rPr>
          <w:noProof/>
          <w:color w:val="000000"/>
        </w:rPr>
        <w:t xml:space="preserve">Териториално приложение: </w:t>
      </w:r>
      <w:r>
        <w:rPr>
          <w:b/>
          <w:noProof/>
          <w:color w:val="000000"/>
        </w:rPr>
        <w:t>Национално равнище</w:t>
      </w:r>
    </w:p>
    <w:p w:rsidR="007A7DC5" w:rsidRDefault="007A7DC5" w:rsidP="007A7DC5">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7A7DC5" w:rsidTr="00D16952">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7A7DC5" w:rsidRDefault="007A7DC5" w:rsidP="00D16952">
            <w:pPr>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7A7DC5" w:rsidRDefault="007A7DC5" w:rsidP="00D16952">
            <w:pPr>
              <w:rPr>
                <w:color w:val="000000"/>
                <w:sz w:val="20"/>
              </w:rPr>
            </w:pPr>
            <w:r>
              <w:rPr>
                <w:b/>
                <w:noProof/>
                <w:color w:val="000000"/>
                <w:sz w:val="20"/>
              </w:rPr>
              <w:t>Описание</w:t>
            </w:r>
          </w:p>
        </w:tc>
      </w:tr>
      <w:tr w:rsidR="007A7DC5" w:rsidTr="00D16952">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7A7DC5" w:rsidRDefault="007A7DC5" w:rsidP="00D16952">
            <w:pPr>
              <w:rPr>
                <w:color w:val="000000"/>
                <w:sz w:val="20"/>
              </w:rPr>
            </w:pPr>
            <w:r>
              <w:rPr>
                <w:noProof/>
                <w:color w:val="000000"/>
                <w:sz w:val="20"/>
              </w:rPr>
              <w:t xml:space="preserve">България </w:t>
            </w:r>
          </w:p>
        </w:tc>
      </w:tr>
    </w:tbl>
    <w:p w:rsidR="007A7DC5" w:rsidRDefault="007A7DC5" w:rsidP="007A7DC5">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A7DC5" w:rsidRDefault="007A7DC5" w:rsidP="00D16952">
            <w:pPr>
              <w:spacing w:before="40" w:after="40"/>
            </w:pPr>
            <w:r>
              <w:rPr>
                <w:noProof/>
              </w:rPr>
              <w:t>Национален</w:t>
            </w:r>
          </w:p>
        </w:tc>
      </w:tr>
    </w:tbl>
    <w:p w:rsidR="007A7DC5" w:rsidRDefault="007A7DC5" w:rsidP="007A7DC5">
      <w:pPr>
        <w:pStyle w:val="Heading5"/>
        <w:spacing w:before="20" w:after="20"/>
        <w:rPr>
          <w:b w:val="0"/>
          <w:i w:val="0"/>
          <w:color w:val="000000"/>
          <w:sz w:val="24"/>
        </w:rPr>
      </w:pPr>
      <w:bookmarkStart w:id="2" w:name="_Toc256000089"/>
      <w:r>
        <w:rPr>
          <w:b w:val="0"/>
          <w:i w:val="0"/>
          <w:noProof/>
          <w:color w:val="000000"/>
          <w:sz w:val="24"/>
        </w:rPr>
        <w:t>2 Свързани специфични цели, междусекторна цел и уместни секторни цели</w:t>
      </w:r>
      <w:bookmarkEnd w:id="2"/>
    </w:p>
    <w:p w:rsidR="007A7DC5" w:rsidRDefault="007A7DC5" w:rsidP="007A7DC5">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7A7DC5"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A7DC5" w:rsidRDefault="007A7DC5" w:rsidP="00D16952">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7A7DC5"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SO4 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p>
        </w:tc>
      </w:tr>
      <w:tr w:rsidR="007A7DC5" w:rsidTr="00D16952">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p>
        </w:tc>
      </w:tr>
    </w:tbl>
    <w:p w:rsidR="007A7DC5" w:rsidRDefault="007A7DC5" w:rsidP="007A7DC5">
      <w:pPr>
        <w:spacing w:before="20" w:after="20"/>
        <w:rPr>
          <w:color w:val="000000"/>
          <w:sz w:val="0"/>
        </w:rPr>
      </w:pPr>
    </w:p>
    <w:p w:rsidR="007A7DC5" w:rsidRDefault="007A7DC5" w:rsidP="007A7DC5">
      <w:pPr>
        <w:pStyle w:val="Heading5"/>
        <w:spacing w:before="20" w:after="20"/>
        <w:rPr>
          <w:b w:val="0"/>
          <w:i w:val="0"/>
          <w:color w:val="000000"/>
          <w:sz w:val="24"/>
        </w:rPr>
      </w:pPr>
      <w:bookmarkStart w:id="3" w:name="_Toc256000090"/>
      <w:r>
        <w:rPr>
          <w:b w:val="0"/>
          <w:i w:val="0"/>
          <w:noProof/>
          <w:color w:val="000000"/>
          <w:sz w:val="24"/>
        </w:rPr>
        <w:t>3 Потребности, обхванати от интервенцията</w:t>
      </w:r>
      <w:bookmarkEnd w:id="3"/>
    </w:p>
    <w:p w:rsidR="007A7DC5" w:rsidRDefault="007A7DC5" w:rsidP="007A7DC5">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2349"/>
        <w:gridCol w:w="2349"/>
        <w:gridCol w:w="2349"/>
      </w:tblGrid>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A7DC5" w:rsidRDefault="007A7DC5" w:rsidP="00D16952">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A7DC5" w:rsidRDefault="007A7DC5" w:rsidP="00D16952">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A7DC5" w:rsidRDefault="007A7DC5" w:rsidP="00D16952">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A7DC5" w:rsidRDefault="007A7DC5" w:rsidP="00D16952">
            <w:pPr>
              <w:spacing w:before="20" w:after="20"/>
              <w:rPr>
                <w:color w:val="000000"/>
                <w:sz w:val="20"/>
              </w:rPr>
            </w:pPr>
            <w:r>
              <w:rPr>
                <w:b/>
                <w:noProof/>
                <w:color w:val="000000"/>
                <w:sz w:val="20"/>
              </w:rPr>
              <w:t>Разгледана в стратегически план по ОСП</w:t>
            </w:r>
          </w:p>
        </w:tc>
      </w:tr>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П.4.4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П.4.4. Потребност от използването на култури и сортове, приспособени към климата</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Да</w:t>
            </w:r>
          </w:p>
        </w:tc>
      </w:tr>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П.4.5.</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Прилагане на нискоинтензивни земеделски практики -консервационно, интегрирано и биологично земеделие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Да</w:t>
            </w:r>
          </w:p>
        </w:tc>
      </w:tr>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 xml:space="preserve">П.5.3.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 xml:space="preserve">Поддържане на добър баланс на запасеност на </w:t>
            </w:r>
            <w:r>
              <w:rPr>
                <w:noProof/>
                <w:color w:val="000000"/>
                <w:sz w:val="20"/>
              </w:rPr>
              <w:lastRenderedPageBreak/>
              <w:t>почвите с органично вещество</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lastRenderedPageBreak/>
              <w:t>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Да</w:t>
            </w:r>
          </w:p>
        </w:tc>
      </w:tr>
    </w:tbl>
    <w:p w:rsidR="007A7DC5" w:rsidRDefault="007A7DC5" w:rsidP="007A7DC5">
      <w:pPr>
        <w:pStyle w:val="Heading5"/>
        <w:spacing w:before="20" w:after="20"/>
        <w:rPr>
          <w:b w:val="0"/>
          <w:i w:val="0"/>
          <w:color w:val="000000"/>
          <w:sz w:val="24"/>
        </w:rPr>
      </w:pPr>
      <w:bookmarkStart w:id="4" w:name="_Toc256000091"/>
      <w:r>
        <w:rPr>
          <w:b w:val="0"/>
          <w:i w:val="0"/>
          <w:noProof/>
          <w:color w:val="000000"/>
          <w:sz w:val="24"/>
        </w:rPr>
        <w:t>4 Показател(и) за резултатите</w:t>
      </w:r>
      <w:bookmarkEnd w:id="4"/>
    </w:p>
    <w:p w:rsidR="007A7DC5" w:rsidRDefault="007A7DC5" w:rsidP="007A7DC5">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A7DC5" w:rsidRDefault="007A7DC5" w:rsidP="00D16952">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R.12 Дял на използваната земеделска площ (ИЗП), за която са поети подпомагани задължения за подобряване на адаптирането към изменението на климата</w:t>
            </w:r>
          </w:p>
        </w:tc>
      </w:tr>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R.14 Дял на използваната земеделска площ (ИЗП), обхваната от подпомагани ангажименти за намаляване на емисиите или за поддържане или подобряване на съхранението на въглероден диоксид (включително постоянно затревени площи, трайни насаждения с постоянно затревяване, земеделска земя във влажни зони и торфища)</w:t>
            </w:r>
          </w:p>
        </w:tc>
      </w:tr>
    </w:tbl>
    <w:p w:rsidR="007A7DC5" w:rsidRDefault="007A7DC5" w:rsidP="007A7DC5">
      <w:pPr>
        <w:pStyle w:val="Heading5"/>
        <w:spacing w:before="20" w:after="20"/>
        <w:rPr>
          <w:b w:val="0"/>
          <w:i w:val="0"/>
          <w:color w:val="000000"/>
          <w:sz w:val="24"/>
        </w:rPr>
      </w:pPr>
      <w:bookmarkStart w:id="5" w:name="_Toc256000092"/>
      <w:r>
        <w:rPr>
          <w:b w:val="0"/>
          <w:i w:val="0"/>
          <w:noProof/>
          <w:color w:val="000000"/>
          <w:sz w:val="24"/>
        </w:rPr>
        <w:t>5 Конкретен план, изисквания и условия за допустимост на интервенцията</w:t>
      </w:r>
      <w:bookmarkEnd w:id="5"/>
    </w:p>
    <w:p w:rsidR="007A7DC5" w:rsidRDefault="007A7DC5" w:rsidP="007A7DC5">
      <w:pPr>
        <w:spacing w:before="20" w:after="20"/>
        <w:rPr>
          <w:color w:val="000000"/>
        </w:rPr>
      </w:pPr>
      <w:r>
        <w:rPr>
          <w:noProof/>
          <w:color w:val="000000"/>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A7DC5" w:rsidRDefault="007A7DC5" w:rsidP="00D16952">
            <w:pPr>
              <w:spacing w:before="40" w:after="40"/>
            </w:pPr>
            <w:r>
              <w:rPr>
                <w:noProof/>
              </w:rPr>
              <w:t xml:space="preserve">Основната цел на интервенцията е да насърчи отглеждането на специфични култури и сортове, които имат потенциал да се адаптират към изменението на климата. Предложените от Селскостопанска академия земеделски култури и сортове са по-толерантни към определени видове стрес (високи и ниски температури, ниска и висока почвена и атмосферна влажност и др.), които въздействат по различен начин за развитие на културите в зависимост от вида на фактора и етапите от фенологичното им развитие (необходимост от допълнителни количества вода, допълнителни средства за противодействие на характерни болести и неприятели и др.). Все по-ясно изразени са климатични промени, свързани с повишаването на температурата на въздуха и засушаването, които понижават и влошават качеството на земеделските култури. Многогодишни изследвания за режима и количеството на валежите показват тенденции към намаляването им и засушаване в много региони на страната. </w:t>
            </w:r>
          </w:p>
          <w:p w:rsidR="007A7DC5" w:rsidRDefault="007A7DC5" w:rsidP="00D16952">
            <w:pPr>
              <w:spacing w:before="40" w:after="40"/>
            </w:pPr>
            <w:r>
              <w:rPr>
                <w:noProof/>
              </w:rPr>
              <w:t>По данни от Селскостопанска академия, при овощните видове ефектът от по-ранното затопляне в предвегетационен период се изразяват в по-ранното развитие на растенията, а от там и по-голямата опасност от повреди вследствие на повратни пролетни мразове. Повредите се очаква да стават все по значителни, имено защото растенията набират все по-рано ефективните температури нужни им за излизане от принудителен покой.</w:t>
            </w:r>
          </w:p>
          <w:p w:rsidR="007A7DC5" w:rsidRDefault="007A7DC5" w:rsidP="00D16952">
            <w:pPr>
              <w:spacing w:before="40" w:after="40"/>
            </w:pPr>
            <w:r>
              <w:rPr>
                <w:noProof/>
              </w:rPr>
              <w:t>Натрупаните научни данни от екстремни в климатично отношение години с наслагване на голям брой стресови фактори показват, че регионалната селекция, разработваща целенасочено сортове, съчетаващи висок и стабилен продуктивен потенциал, приспособимост към условията на средата, студоустойчивост и толерантност към засушаване, може да допринесе за минимизиране на загубите от неблагорпиятни метериологични условия.</w:t>
            </w:r>
          </w:p>
          <w:p w:rsidR="007A7DC5" w:rsidRDefault="007A7DC5" w:rsidP="00D16952">
            <w:pPr>
              <w:spacing w:before="40" w:after="40"/>
            </w:pPr>
            <w:r>
              <w:rPr>
                <w:noProof/>
              </w:rPr>
              <w:t xml:space="preserve">Освен ефектът по отношение на необходимите водни количества и устойчвостта към затоплянето и последващи застудяване, използването на устойчиви на болести и неприятели и добре адаптирани към почвените и климатичните особености на отделните райони сортове земеделски култури води и до намаляване на употребата на пестициди и като цяло оставя по-нисък екологичен отпечатък. Не случайно в Стратегията от Фермата до трапезата на EC се подчертава, че в основата на една устойчива хранителна система е наличието на разнообразие от добре адаптирани сортове. </w:t>
            </w:r>
          </w:p>
          <w:p w:rsidR="007A7DC5" w:rsidRDefault="007A7DC5" w:rsidP="00D16952">
            <w:pPr>
              <w:spacing w:before="40" w:after="40"/>
            </w:pPr>
            <w:r>
              <w:rPr>
                <w:noProof/>
              </w:rPr>
              <w:lastRenderedPageBreak/>
              <w:t>В тази връзка, една от основните цели на интервенцията е да насърчи насочването на земеделските стопани към използване на висококачествени семена и посадъчен материал от голям брой регионални сортове, които имат потенциал да се адаптират към ефектите от изменението на климата.</w:t>
            </w:r>
          </w:p>
          <w:p w:rsidR="007A7DC5" w:rsidRDefault="007A7DC5" w:rsidP="00D16952">
            <w:pPr>
              <w:spacing w:before="40" w:after="40"/>
            </w:pPr>
            <w:r>
              <w:rPr>
                <w:noProof/>
              </w:rPr>
              <w:t xml:space="preserve">Въвеждането на устойчиви култури и сортове ще подобри съхранението на водорода в почвата чрез ускоряване на атмосферното поглъщане на въглерод, ще се осигурява устойчива продукция и допринася за намаляване на загубите в добива и качеството в екстремни години, поради различията в адаптивността им. В България се очаква по-ранно цъфтене на дърветата, по-дълъг сезон за лозята и промени в другите естествени цикли на културите, което оказва влияние върху крайните добиви. Различните региони в страната се нуждаят от култури и сортове, адаптирани към различни стресови фактори. </w:t>
            </w:r>
          </w:p>
          <w:p w:rsidR="007A7DC5" w:rsidRDefault="007A7DC5" w:rsidP="00D16952">
            <w:pPr>
              <w:spacing w:before="40" w:after="40"/>
            </w:pPr>
            <w:r>
              <w:rPr>
                <w:noProof/>
              </w:rPr>
              <w:t xml:space="preserve">Видовете и сортовете, отглеждани, за да се противопоставят на промените в климатичните условия, биха могли да бъдат една от най-ефективните стратегия за адаптиране към изменението на климата. </w:t>
            </w:r>
          </w:p>
          <w:p w:rsidR="007A7DC5" w:rsidRDefault="007A7DC5" w:rsidP="00D16952">
            <w:pPr>
              <w:spacing w:before="40" w:after="40"/>
            </w:pPr>
            <w:r>
              <w:rPr>
                <w:noProof/>
              </w:rPr>
              <w:t>Мярката е оперативна дейност от Националната стратегия за адаптация към изменението на климата приета с Решение № 621 на Министерския съвет от 25.10.2019 г. и План за действие до 2030 година, като целта е да се подпомага отглеждането на култури и сортове от приоритетните сектори - плодове, зеленчуци, десертни лозя и билки, които притежават потенциал за адаптиране към измененията на климата и са устойчиви на промените свързани със засушаването причинено от промените в температурите.</w:t>
            </w:r>
          </w:p>
          <w:p w:rsidR="007A7DC5" w:rsidRDefault="007A7DC5" w:rsidP="00D16952">
            <w:pPr>
              <w:spacing w:before="40" w:after="40"/>
            </w:pPr>
          </w:p>
          <w:p w:rsidR="007A7DC5" w:rsidRDefault="007A7DC5" w:rsidP="00D16952">
            <w:pPr>
              <w:spacing w:before="40" w:after="40"/>
            </w:pPr>
            <w:r>
              <w:rPr>
                <w:noProof/>
              </w:rPr>
              <w:t xml:space="preserve">Целите на интервенцията ще бъдат постигани чрез две операции: </w:t>
            </w:r>
          </w:p>
          <w:p w:rsidR="007A7DC5" w:rsidRDefault="007A7DC5" w:rsidP="00D16952">
            <w:pPr>
              <w:spacing w:before="40" w:after="40"/>
            </w:pPr>
            <w:r>
              <w:rPr>
                <w:noProof/>
              </w:rPr>
              <w:t>Операция 1: Отглеждане на устойчиви сортове с разрешени за употреба в биологичното производство продукти за растителна защита.</w:t>
            </w:r>
          </w:p>
          <w:p w:rsidR="007A7DC5" w:rsidRDefault="007A7DC5" w:rsidP="00D16952">
            <w:pPr>
              <w:spacing w:before="40" w:after="40"/>
            </w:pPr>
            <w:r>
              <w:rPr>
                <w:noProof/>
              </w:rPr>
              <w:t>Операция 2: Насърчаване отглеждане на устойчиви сортове.</w:t>
            </w:r>
          </w:p>
          <w:p w:rsidR="007A7DC5" w:rsidRDefault="007A7DC5" w:rsidP="00D16952">
            <w:pPr>
              <w:spacing w:before="40" w:after="40"/>
            </w:pPr>
            <w:r>
              <w:rPr>
                <w:noProof/>
              </w:rPr>
              <w:t>Планираните дейности в интервенцията предоставят допълнителни възможности и необходимата гъвкавост на земеделските стопани да изберат доброволно методи и начини на отглеждане на специфични култури и сортове, за да отговорят на идентифицираната в Стратегическия план потребност. Отглеждането на специфични култури и сортове ще допринесе за по-добра адаптивност към преобладаващите климатични условия в региона, поради следните характеристики на тези култури и сортове:</w:t>
            </w:r>
          </w:p>
          <w:p w:rsidR="007A7DC5" w:rsidRDefault="007A7DC5" w:rsidP="00D16952">
            <w:pPr>
              <w:spacing w:before="40" w:after="40"/>
            </w:pPr>
            <w:r>
              <w:rPr>
                <w:noProof/>
              </w:rPr>
              <w:t>• Добра приспособимост към различните почвено-климатични условия на страната;</w:t>
            </w:r>
          </w:p>
          <w:p w:rsidR="007A7DC5" w:rsidRDefault="007A7DC5" w:rsidP="00D16952">
            <w:pPr>
              <w:spacing w:before="40" w:after="40"/>
            </w:pPr>
            <w:r>
              <w:rPr>
                <w:noProof/>
              </w:rPr>
              <w:t>• Полска устойчивост към най-важните за района болести по съответната култура, което позволява намаляване на употребата на пестициди;</w:t>
            </w:r>
          </w:p>
          <w:p w:rsidR="007A7DC5" w:rsidRDefault="007A7DC5" w:rsidP="00D16952">
            <w:pPr>
              <w:spacing w:before="40" w:after="40"/>
            </w:pPr>
            <w:r>
              <w:rPr>
                <w:noProof/>
              </w:rPr>
              <w:t>• Добра сухоустойчивост, в наблюдаваните по-дълги периоди на засушаване, когато допълнителната нужда от вода е наложителна;</w:t>
            </w:r>
          </w:p>
          <w:p w:rsidR="007A7DC5" w:rsidRDefault="007A7DC5" w:rsidP="00D16952">
            <w:pPr>
              <w:spacing w:before="40" w:after="40"/>
            </w:pPr>
            <w:r>
              <w:rPr>
                <w:noProof/>
              </w:rPr>
              <w:t>• Добра студоустойчивост на зимни мразове и пролетни студове.</w:t>
            </w:r>
          </w:p>
          <w:p w:rsidR="007A7DC5" w:rsidRDefault="007A7DC5" w:rsidP="00D16952">
            <w:pPr>
              <w:spacing w:before="40" w:after="40"/>
            </w:pPr>
            <w:r>
              <w:rPr>
                <w:noProof/>
              </w:rPr>
              <w:t xml:space="preserve">Площите в интервенцията, които не са част от интервенциите за биологично производство, включват отглеждането на подбрани растителни сортове, с акцент върху адаптирането към различни местни почвени и климатични условия, сухоустойчивост и устойчивост на болести. Възможността площите в операция № 2 да могат да бъдат включени в доброволни ангажименти по еко-схеми, насърчаващи намалената употреба на минерални торове и продукти за растителна защита, се очаква да има и допълнителен </w:t>
            </w:r>
            <w:r>
              <w:rPr>
                <w:noProof/>
              </w:rPr>
              <w:lastRenderedPageBreak/>
              <w:t>положителен ефект по отношение на целевите стойности и показатели в тези интервенции.</w:t>
            </w:r>
          </w:p>
          <w:p w:rsidR="007A7DC5" w:rsidRDefault="007A7DC5" w:rsidP="00D16952">
            <w:pPr>
              <w:spacing w:before="40" w:after="40"/>
            </w:pPr>
            <w:r>
              <w:rPr>
                <w:noProof/>
              </w:rPr>
              <w:t>Агроекологичните ангажименти надхвърлят минималните изисквания за използване на торове и ПРЗ, както и задължителни изисквания, установени в националното законодателство.</w:t>
            </w:r>
          </w:p>
          <w:p w:rsidR="007A7DC5" w:rsidRDefault="007A7DC5" w:rsidP="00D16952">
            <w:pPr>
              <w:spacing w:before="40" w:after="40"/>
            </w:pPr>
            <w:r>
              <w:rPr>
                <w:noProof/>
              </w:rPr>
              <w:t>В случай на изменения в съответните задължителни стандарти, изисквания или задължения, посочени в чл.70 от РСП, които поетите задължения трябва да надхвърлят, или за да се гарантира спазването разпоредбите на буква г) на същия параграф и се предоставя възможност за преразглеждане, за да се гарантира адаптиране на ангажиментите. Когато тези корекции не бъдат приети от бенефициера, ангажиментът отпада и не се изисква възстановяване на средства по отношение на периода, през който е изпълняван ангажиментът.</w:t>
            </w:r>
          </w:p>
          <w:p w:rsidR="007A7DC5" w:rsidRDefault="007A7DC5" w:rsidP="00D16952">
            <w:pPr>
              <w:spacing w:before="40" w:after="40"/>
            </w:pPr>
            <w:r>
              <w:rPr>
                <w:noProof/>
              </w:rPr>
              <w:t>Освен това, 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7A7DC5" w:rsidRDefault="007A7DC5" w:rsidP="007A7DC5">
      <w:pPr>
        <w:spacing w:before="20" w:after="20"/>
        <w:rPr>
          <w:color w:val="000000"/>
        </w:rPr>
      </w:pPr>
      <w:r>
        <w:rPr>
          <w:noProof/>
          <w:color w:val="000000"/>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A7DC5" w:rsidRDefault="007A7DC5" w:rsidP="00D16952">
            <w:pPr>
              <w:spacing w:before="40" w:after="40"/>
            </w:pPr>
            <w:r>
              <w:rPr>
                <w:noProof/>
              </w:rPr>
              <w:t>Земеделски стопани, които отговарят на изискванията за „активни земеделски стопани“.</w:t>
            </w:r>
          </w:p>
          <w:p w:rsidR="007A7DC5" w:rsidRDefault="007A7DC5" w:rsidP="00D16952">
            <w:pPr>
              <w:spacing w:before="40" w:after="40"/>
            </w:pPr>
            <w:r>
              <w:rPr>
                <w:noProof/>
              </w:rPr>
              <w:t>Земеделски стопани, които са регистрирани в ИСАК.</w:t>
            </w:r>
          </w:p>
          <w:p w:rsidR="007A7DC5" w:rsidRDefault="007A7DC5" w:rsidP="00D16952">
            <w:pPr>
              <w:spacing w:before="40" w:after="40"/>
            </w:pPr>
            <w:r>
              <w:rPr>
                <w:noProof/>
              </w:rPr>
              <w:t>Земеделски стопани, които стопанисват земеделски площи от минимум 0,3 ха от допустимите сортове в съответната операция.</w:t>
            </w:r>
          </w:p>
          <w:p w:rsidR="007A7DC5" w:rsidRDefault="007A7DC5" w:rsidP="00D16952">
            <w:pPr>
              <w:spacing w:before="40" w:after="40"/>
            </w:pPr>
            <w:r>
              <w:rPr>
                <w:noProof/>
              </w:rPr>
              <w:t>Подпомагането е за земеделските площи, регистрирани в ИСАК, които отговарят на определението за „допустим хектар”.</w:t>
            </w:r>
          </w:p>
          <w:p w:rsidR="007A7DC5" w:rsidRDefault="007A7DC5" w:rsidP="00D16952">
            <w:pPr>
              <w:spacing w:before="40" w:after="40"/>
            </w:pPr>
            <w:r>
              <w:rPr>
                <w:noProof/>
              </w:rPr>
              <w:t>Допустими земеделски стопани за операция № 1 са:</w:t>
            </w:r>
          </w:p>
          <w:p w:rsidR="007A7DC5" w:rsidRDefault="007A7DC5" w:rsidP="00D16952">
            <w:pPr>
              <w:spacing w:before="40" w:after="40"/>
            </w:pPr>
            <w:r>
              <w:rPr>
                <w:noProof/>
              </w:rPr>
              <w:t xml:space="preserve">• Стопанства, отглеждащи допустимите култури и сортове, регистрирани в ИСАК. </w:t>
            </w:r>
          </w:p>
          <w:p w:rsidR="007A7DC5" w:rsidRDefault="007A7DC5" w:rsidP="00D16952">
            <w:pPr>
              <w:spacing w:before="40" w:after="40"/>
            </w:pPr>
            <w:r>
              <w:rPr>
                <w:noProof/>
              </w:rPr>
              <w:t>ИЛИ</w:t>
            </w:r>
          </w:p>
          <w:p w:rsidR="007A7DC5" w:rsidRDefault="007A7DC5" w:rsidP="00D16952">
            <w:pPr>
              <w:spacing w:before="40" w:after="40"/>
            </w:pPr>
            <w:r>
              <w:rPr>
                <w:noProof/>
              </w:rPr>
              <w:t>• С поет ангажимент с площите от 2023 г.</w:t>
            </w:r>
          </w:p>
          <w:p w:rsidR="007A7DC5" w:rsidRDefault="007A7DC5" w:rsidP="00D16952">
            <w:pPr>
              <w:spacing w:before="40" w:after="40"/>
            </w:pPr>
            <w:r>
              <w:rPr>
                <w:noProof/>
              </w:rPr>
              <w:t>Максимално допустимата за подпомагане площ е до 10 ха или с размера на площите, с които е поет многогодишният ангажимент, когато същият се изпълнява с по-голяма площ.</w:t>
            </w:r>
          </w:p>
          <w:p w:rsidR="007A7DC5" w:rsidRDefault="007A7DC5" w:rsidP="00D16952">
            <w:pPr>
              <w:spacing w:before="40" w:after="40"/>
            </w:pPr>
            <w:r>
              <w:rPr>
                <w:noProof/>
              </w:rPr>
              <w:t>Допустими земеделски стопани за операция № 2 са:</w:t>
            </w:r>
          </w:p>
          <w:p w:rsidR="007A7DC5" w:rsidRDefault="007A7DC5" w:rsidP="00D16952">
            <w:pPr>
              <w:spacing w:before="40" w:after="40"/>
            </w:pPr>
            <w:r>
              <w:rPr>
                <w:noProof/>
              </w:rPr>
              <w:t>• Земеделски стопани с площи, които не участват в ангажимент по операция №1.</w:t>
            </w:r>
          </w:p>
          <w:p w:rsidR="007A7DC5" w:rsidRDefault="007A7DC5" w:rsidP="00D16952">
            <w:pPr>
              <w:spacing w:before="40" w:after="40"/>
            </w:pPr>
            <w:r>
              <w:rPr>
                <w:noProof/>
              </w:rPr>
              <w:t>Максимално допустимата за подпомагане площ по операцията е до 50 ха.</w:t>
            </w:r>
          </w:p>
          <w:p w:rsidR="007A7DC5" w:rsidRDefault="007A7DC5" w:rsidP="00D16952">
            <w:pPr>
              <w:spacing w:before="40" w:after="40"/>
            </w:pPr>
            <w:r>
              <w:rPr>
                <w:noProof/>
              </w:rPr>
              <w:t>Подпомагането е за земеделските площи, регистрирани в ИСАК, които отговарят на определението за „допустим хектар”.</w:t>
            </w:r>
          </w:p>
          <w:p w:rsidR="007A7DC5" w:rsidRDefault="007A7DC5" w:rsidP="00D16952">
            <w:pPr>
              <w:spacing w:before="40" w:after="40"/>
            </w:pPr>
            <w:r>
              <w:rPr>
                <w:noProof/>
              </w:rPr>
              <w:t xml:space="preserve">Земеделските стопани изпълняват многогодишния ангажимент с едни и същи по размер площи в съответната операция. За периода на ангажимента за трайни насаждения и многогодишни култури дейностите се извършват върху едни и същи площи. </w:t>
            </w:r>
          </w:p>
          <w:p w:rsidR="007A7DC5" w:rsidRDefault="007A7DC5" w:rsidP="00D16952">
            <w:pPr>
              <w:spacing w:before="40" w:after="40"/>
            </w:pPr>
            <w:r>
              <w:rPr>
                <w:noProof/>
              </w:rPr>
              <w:t>Ангажиментът може да бъде разширяван до максимално допустимата за подпомагане площ по съответната операция.</w:t>
            </w:r>
          </w:p>
          <w:p w:rsidR="007A7DC5" w:rsidRDefault="007A7DC5" w:rsidP="00D16952">
            <w:pPr>
              <w:spacing w:before="40" w:after="40"/>
            </w:pPr>
            <w:r>
              <w:rPr>
                <w:noProof/>
              </w:rPr>
              <w:t>Максимално допустимата за подпомагане площ по интервенцията е до 50 ха.</w:t>
            </w:r>
          </w:p>
          <w:p w:rsidR="007A7DC5" w:rsidRDefault="007A7DC5" w:rsidP="00D16952">
            <w:pPr>
              <w:spacing w:before="40" w:after="40"/>
            </w:pPr>
            <w:r>
              <w:rPr>
                <w:noProof/>
              </w:rPr>
              <w:t xml:space="preserve">В съответствие с мерките по Становището по екологична оценка № 5 – 4/2023 г., издадено от министъра на околната среда и водите, площи в обхвата на защитени зони по Директивата за птиците, върху които земеделският стопанин през предходната година е </w:t>
            </w:r>
            <w:r>
              <w:rPr>
                <w:noProof/>
              </w:rPr>
              <w:lastRenderedPageBreak/>
              <w:t>отглеждал зърнени култури или рапица, не могат да бъдат финансирани за отглеждане на лавандула или кориандър.</w:t>
            </w:r>
          </w:p>
          <w:p w:rsidR="007A7DC5" w:rsidRDefault="007A7DC5" w:rsidP="00D16952">
            <w:pPr>
              <w:spacing w:before="40" w:after="40"/>
            </w:pPr>
            <w:r>
              <w:rPr>
                <w:noProof/>
              </w:rPr>
              <w:t>Земеделските стопани или упълномощено от тях лице трябва да преминат обучение или да докажат опит за прилагането на поетите от тях ангажименти в предходен програмен период.</w:t>
            </w:r>
          </w:p>
        </w:tc>
      </w:tr>
    </w:tbl>
    <w:p w:rsidR="007A7DC5" w:rsidRDefault="007A7DC5" w:rsidP="007A7DC5">
      <w:pPr>
        <w:spacing w:before="20" w:after="20"/>
        <w:rPr>
          <w:color w:val="000000"/>
        </w:rPr>
      </w:pPr>
      <w:r>
        <w:rPr>
          <w:noProof/>
          <w:color w:val="000000"/>
        </w:rPr>
        <w:lastRenderedPageBreak/>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7A7DC5" w:rsidRDefault="007A7DC5" w:rsidP="00D16952">
            <w:pPr>
              <w:spacing w:before="40" w:after="40"/>
            </w:pPr>
            <w:r>
              <w:rPr>
                <w:noProof/>
              </w:rPr>
              <w:t>Бенефициентите по всяка операция поемат ангажимент да водят дневник (регистър) на стопанството за всички земеделски дейности, извършвани в земеделските земи, предмет на поетите задължения.</w:t>
            </w:r>
          </w:p>
          <w:p w:rsidR="007A7DC5" w:rsidRDefault="007A7DC5" w:rsidP="00D16952">
            <w:pPr>
              <w:spacing w:before="40" w:after="40"/>
            </w:pPr>
            <w:r>
              <w:rPr>
                <w:noProof/>
              </w:rPr>
              <w:t>Културите и сортовете се разделят на 4 групи:</w:t>
            </w:r>
          </w:p>
          <w:p w:rsidR="007A7DC5" w:rsidRDefault="007A7DC5" w:rsidP="00D16952">
            <w:pPr>
              <w:spacing w:before="40" w:after="40"/>
            </w:pPr>
            <w:r>
              <w:rPr>
                <w:noProof/>
              </w:rPr>
              <w:t>1. Плодове;</w:t>
            </w:r>
          </w:p>
          <w:p w:rsidR="007A7DC5" w:rsidRDefault="007A7DC5" w:rsidP="00D16952">
            <w:pPr>
              <w:spacing w:before="40" w:after="40"/>
            </w:pPr>
            <w:r>
              <w:rPr>
                <w:noProof/>
              </w:rPr>
              <w:t>2. Зеленчуци;</w:t>
            </w:r>
          </w:p>
          <w:p w:rsidR="007A7DC5" w:rsidRDefault="007A7DC5" w:rsidP="00D16952">
            <w:pPr>
              <w:spacing w:before="40" w:after="40"/>
            </w:pPr>
            <w:r>
              <w:rPr>
                <w:noProof/>
              </w:rPr>
              <w:t xml:space="preserve">3. Билки; </w:t>
            </w:r>
          </w:p>
          <w:p w:rsidR="007A7DC5" w:rsidRDefault="007A7DC5" w:rsidP="00D16952">
            <w:pPr>
              <w:spacing w:before="40" w:after="40"/>
            </w:pPr>
            <w:r>
              <w:rPr>
                <w:noProof/>
              </w:rPr>
              <w:t xml:space="preserve">4. Десертно лозе; </w:t>
            </w:r>
          </w:p>
          <w:p w:rsidR="007A7DC5" w:rsidRDefault="007A7DC5" w:rsidP="00D16952">
            <w:pPr>
              <w:spacing w:before="40" w:after="40"/>
            </w:pPr>
            <w:r>
              <w:rPr>
                <w:noProof/>
              </w:rPr>
              <w:t xml:space="preserve">Използват се култури и сортове, които са подходящи за отглеждане при специфични климатични условия за Република България, съгласно списък, изготвен от Селскостопанска академия. </w:t>
            </w:r>
          </w:p>
          <w:p w:rsidR="007A7DC5" w:rsidRDefault="007A7DC5" w:rsidP="00D16952">
            <w:pPr>
              <w:spacing w:before="40" w:after="40"/>
            </w:pPr>
            <w:r>
              <w:rPr>
                <w:noProof/>
              </w:rPr>
              <w:t>Притежават и предоставят официален документ за закупуване на посевния и посадъчен материал използван за засаждане за стопанската година.</w:t>
            </w:r>
          </w:p>
          <w:p w:rsidR="007A7DC5" w:rsidRDefault="007A7DC5" w:rsidP="00D16952">
            <w:pPr>
              <w:spacing w:before="40" w:after="40"/>
            </w:pPr>
            <w:r>
              <w:rPr>
                <w:noProof/>
              </w:rPr>
              <w:t>Изискване за предоставяне на ежегодна план-програма за извършване на дейностите по направлението, който включва агроекологичните мероприятия извършени в периода на ангажимента, технологията за обработка на почвата, засадените култури/сортове.</w:t>
            </w:r>
          </w:p>
          <w:p w:rsidR="007A7DC5" w:rsidRDefault="007A7DC5" w:rsidP="00D16952">
            <w:pPr>
              <w:spacing w:before="40" w:after="40"/>
            </w:pPr>
            <w:r>
              <w:rPr>
                <w:noProof/>
              </w:rPr>
              <w:t>Сортовете подпомагани по направлението са различни от застрашени от изчезване местни сортове, включени в интервенцията II.А.5. - Опазване на застрашени от изчезване местни сортове, важни за селското стопанство.</w:t>
            </w:r>
          </w:p>
          <w:p w:rsidR="007A7DC5" w:rsidRDefault="007A7DC5" w:rsidP="00D16952">
            <w:pPr>
              <w:spacing w:before="40" w:after="40"/>
            </w:pPr>
            <w:r>
              <w:rPr>
                <w:noProof/>
              </w:rPr>
              <w:t>В съответствие с чл. 79 от Регламент 2115/2021, когато сумата по подадените заявления за подпомагане за направления/дейности от интервенцията надвишава планираните и разполагаемите средства ще се използват критерии за подбор на заявленията, като приоритетно ще се подпомагат стопанства, изпълняващи дейности по операция № 1.</w:t>
            </w:r>
          </w:p>
          <w:p w:rsidR="007A7DC5" w:rsidRDefault="007A7DC5" w:rsidP="00D16952">
            <w:pPr>
              <w:spacing w:before="40" w:after="40"/>
            </w:pPr>
            <w:r>
              <w:rPr>
                <w:noProof/>
              </w:rPr>
              <w:t>В ангажимента по операция № 1, земеделският стопанин спазва забрана за използване на минерални торове и продукти за растителна защита, с изключение на тези, които са разрешени за използване в биологичното производство.</w:t>
            </w:r>
          </w:p>
        </w:tc>
      </w:tr>
    </w:tbl>
    <w:p w:rsidR="007A7DC5" w:rsidRDefault="007A7DC5" w:rsidP="007A7DC5">
      <w:pPr>
        <w:spacing w:before="20" w:after="20"/>
        <w:rPr>
          <w:color w:val="000000"/>
        </w:rPr>
      </w:pPr>
      <w:r>
        <w:rPr>
          <w:noProof/>
          <w:color w:val="000000"/>
        </w:rPr>
        <w:t>O14 Каква площ отговаря на критериите?</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Земеделски площи, определени за плана по ОСП</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Земеделска земя, включително и отвъд земеделски площи</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Неземеделска земя</w:t>
      </w:r>
    </w:p>
    <w:p w:rsidR="007A7DC5" w:rsidRDefault="007A7DC5" w:rsidP="007A7DC5">
      <w:pPr>
        <w:spacing w:before="20" w:after="20"/>
        <w:rPr>
          <w:color w:val="000000"/>
          <w:sz w:val="0"/>
        </w:rPr>
      </w:pPr>
    </w:p>
    <w:p w:rsidR="007A7DC5" w:rsidRDefault="007A7DC5" w:rsidP="007A7DC5">
      <w:pPr>
        <w:pStyle w:val="Heading5"/>
        <w:spacing w:before="20" w:after="20"/>
        <w:rPr>
          <w:b w:val="0"/>
          <w:i w:val="0"/>
          <w:color w:val="000000"/>
          <w:sz w:val="24"/>
        </w:rPr>
      </w:pPr>
      <w:bookmarkStart w:id="6" w:name="_Toc256000093"/>
      <w:r>
        <w:rPr>
          <w:b w:val="0"/>
          <w:i w:val="0"/>
          <w:noProof/>
          <w:color w:val="000000"/>
          <w:sz w:val="24"/>
        </w:rPr>
        <w:t>6 Определяне на уместни базови характеристики</w:t>
      </w:r>
      <w:bookmarkEnd w:id="6"/>
    </w:p>
    <w:p w:rsidR="007A7DC5" w:rsidRDefault="007A7DC5" w:rsidP="007A7DC5">
      <w:pPr>
        <w:spacing w:before="20" w:after="20"/>
        <w:rPr>
          <w:color w:val="000000"/>
        </w:rPr>
      </w:pPr>
      <w:r>
        <w:rPr>
          <w:noProof/>
          <w:color w:val="000000"/>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7A7DC5" w:rsidRDefault="007A7DC5" w:rsidP="007A7DC5">
      <w:pPr>
        <w:spacing w:before="20" w:after="20"/>
        <w:rPr>
          <w:color w:val="000000"/>
        </w:rPr>
      </w:pPr>
      <w:r>
        <w:rPr>
          <w:noProof/>
          <w:color w:val="000000"/>
        </w:rPr>
        <w:lastRenderedPageBreak/>
        <w:t>Списък на приложимите стандарти за ДЗЕС и ЗИУ</w:t>
      </w:r>
    </w:p>
    <w:p w:rsidR="007A7DC5" w:rsidRDefault="007A7DC5" w:rsidP="007A7DC5">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4698"/>
      </w:tblGrid>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A7DC5" w:rsidRDefault="007A7DC5" w:rsidP="00D16952">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7A7DC5" w:rsidRDefault="007A7DC5" w:rsidP="00D16952">
            <w:pPr>
              <w:spacing w:before="20" w:after="20"/>
              <w:rPr>
                <w:color w:val="000000"/>
                <w:sz w:val="20"/>
              </w:rPr>
            </w:pPr>
            <w:r>
              <w:rPr>
                <w:b/>
                <w:noProof/>
                <w:color w:val="000000"/>
                <w:sz w:val="20"/>
              </w:rPr>
              <w:t>Описание</w:t>
            </w:r>
          </w:p>
        </w:tc>
      </w:tr>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SMR07</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Регламент (ЕО) № 1107/2009 на Европейския парламент и на Съвета от 21 октомври 2009 г. относно пускането на пазара на продукти за растителна защита и за отмяна на директиви 79/117/ЕИО и 91/414/ЕИО на Съвета: член 55, първо и второ изречение</w:t>
            </w:r>
          </w:p>
        </w:tc>
      </w:tr>
      <w:tr w:rsidR="007A7DC5" w:rsidTr="00D16952">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SMR08</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20" w:after="20"/>
              <w:rPr>
                <w:color w:val="000000"/>
                <w:sz w:val="20"/>
              </w:rPr>
            </w:pPr>
            <w:r>
              <w:rPr>
                <w:noProof/>
                <w:color w:val="000000"/>
                <w:sz w:val="20"/>
              </w:rPr>
              <w:t>Директива 2009/128/ЕО на Европейския парламент и на Съвета от 21 октомври 2009 г. за създаване на рамка за действие на Общността за постигане на устойчива употреба на пестициди: член 5, параграф 2 и член 8, параграфи 1—5; член 12 по отношение на ограниченията за използване на пестициди в защитени зони, определени въз основа на Директива 2000/60/ЕО и законодателството за „Натура 2000“; член 13, параграфи 1 и 3 относно обработката и съхранението на пестициди и обезвреждането на остатъци</w:t>
            </w:r>
          </w:p>
        </w:tc>
      </w:tr>
    </w:tbl>
    <w:p w:rsidR="007A7DC5" w:rsidRDefault="007A7DC5" w:rsidP="007A7DC5">
      <w:pPr>
        <w:spacing w:before="20" w:after="20"/>
        <w:rPr>
          <w:color w:val="000000"/>
        </w:rPr>
      </w:pPr>
      <w:r>
        <w:rPr>
          <w:noProof/>
          <w:color w:val="000000"/>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40" w:after="40"/>
            </w:pPr>
            <w:r>
              <w:rPr>
                <w:noProof/>
              </w:rPr>
              <w:t>Интервенцията е част от дейностите от Националната стратегия за адаптация към изменението на климата приета с Решение № 621 на Министерския съвет от 25.10.2019 г. и План за действие до 2030 година, като земеделските стопани спазват програма от мерки за ограничаване и предотвратяване на замърсяването с нитрати от земеделски източници в уязвимите зони, разработена в изпълнение на изискванията на Наредба № 2 от 2007 г. за опазване на водите от замърсяване с нитрати от земеделски източници и утвърдена със заповед № РД 09-806/25.07.2024 г. на МЗХ.</w:t>
            </w:r>
          </w:p>
        </w:tc>
      </w:tr>
    </w:tbl>
    <w:p w:rsidR="007A7DC5" w:rsidRDefault="007A7DC5" w:rsidP="007A7DC5">
      <w:pPr>
        <w:spacing w:before="20" w:after="20"/>
        <w:rPr>
          <w:color w:val="000000"/>
        </w:rPr>
      </w:pPr>
      <w:r>
        <w:rPr>
          <w:noProof/>
          <w:color w:val="000000"/>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40" w:after="40"/>
            </w:pPr>
            <w:r>
              <w:rPr>
                <w:noProof/>
              </w:rPr>
              <w:t>Намаляване на рисковите фактори за околната среда и здравето на хората, свързани с използването на синтетични суровини и торове. Ведно с комплексния подход на условността и по-специално ЗИУ 7 и 8, които изискват спазване на Регламент 1107/2009 на ЕО по отношение на подходящото използване на ПРЗ от земеделски производители, които се възползват от помощта на площ по ОСП, както и Директива 2009/128/ЕО относно сертифицирането, контрола на пръскане и съхранението и управлението на опаковки за ПРЗ.</w:t>
            </w:r>
          </w:p>
        </w:tc>
      </w:tr>
    </w:tbl>
    <w:p w:rsidR="007A7DC5" w:rsidRDefault="007A7DC5" w:rsidP="007A7DC5">
      <w:pPr>
        <w:pStyle w:val="Heading5"/>
        <w:spacing w:before="20" w:after="20"/>
        <w:rPr>
          <w:b w:val="0"/>
          <w:i w:val="0"/>
          <w:color w:val="000000"/>
          <w:sz w:val="24"/>
        </w:rPr>
      </w:pPr>
      <w:bookmarkStart w:id="7" w:name="_Toc256000094"/>
      <w:r>
        <w:rPr>
          <w:b w:val="0"/>
          <w:i w:val="0"/>
          <w:noProof/>
          <w:color w:val="000000"/>
          <w:sz w:val="24"/>
        </w:rPr>
        <w:t>7 Форма и ставка на подпомагане/суми/методи за изчисляване</w:t>
      </w:r>
      <w:bookmarkEnd w:id="7"/>
    </w:p>
    <w:p w:rsidR="007A7DC5" w:rsidRDefault="007A7DC5" w:rsidP="007A7DC5">
      <w:pPr>
        <w:spacing w:before="20" w:after="20"/>
        <w:rPr>
          <w:b/>
          <w:color w:val="000000"/>
        </w:rPr>
      </w:pPr>
      <w:r>
        <w:rPr>
          <w:rFonts w:ascii="Wingdings" w:eastAsia="Wingdings" w:hAnsi="Wingdings" w:cs="Wingdings"/>
          <w:b/>
          <w:noProof/>
          <w:color w:val="000000"/>
        </w:rPr>
        <w:t></w:t>
      </w:r>
      <w:r>
        <w:rPr>
          <w:b/>
          <w:noProof/>
          <w:color w:val="000000"/>
        </w:rPr>
        <w:t xml:space="preserve"> В обхвата на ИСАК</w:t>
      </w:r>
    </w:p>
    <w:p w:rsidR="007A7DC5" w:rsidRDefault="007A7DC5" w:rsidP="007A7DC5">
      <w:pPr>
        <w:spacing w:before="20" w:after="20"/>
        <w:rPr>
          <w:b/>
          <w:color w:val="000000"/>
        </w:rPr>
      </w:pPr>
      <w:r>
        <w:rPr>
          <w:rFonts w:ascii="Wingdings" w:eastAsia="Wingdings" w:hAnsi="Wingdings" w:cs="Wingdings"/>
          <w:b/>
          <w:noProof/>
          <w:color w:val="000000"/>
        </w:rPr>
        <w:t></w:t>
      </w:r>
      <w:r>
        <w:rPr>
          <w:b/>
          <w:noProof/>
          <w:color w:val="000000"/>
        </w:rPr>
        <w:t xml:space="preserve"> Извън обхвата на ИСАК</w:t>
      </w:r>
    </w:p>
    <w:p w:rsidR="007A7DC5" w:rsidRDefault="007A7DC5" w:rsidP="007A7DC5">
      <w:pPr>
        <w:spacing w:before="20" w:after="20"/>
        <w:rPr>
          <w:color w:val="000000"/>
        </w:rPr>
      </w:pPr>
    </w:p>
    <w:p w:rsidR="007A7DC5" w:rsidRDefault="007A7DC5" w:rsidP="007A7DC5">
      <w:pPr>
        <w:spacing w:before="20" w:after="20"/>
        <w:rPr>
          <w:color w:val="000000"/>
          <w:sz w:val="28"/>
        </w:rPr>
      </w:pPr>
      <w:r>
        <w:rPr>
          <w:noProof/>
          <w:color w:val="000000"/>
          <w:sz w:val="28"/>
        </w:rPr>
        <w:t>Раздел в обхвата на ИСАК</w:t>
      </w:r>
    </w:p>
    <w:p w:rsidR="007A7DC5" w:rsidRDefault="007A7DC5" w:rsidP="007A7DC5">
      <w:pPr>
        <w:spacing w:before="20" w:after="20"/>
        <w:rPr>
          <w:color w:val="000000"/>
        </w:rPr>
      </w:pPr>
      <w:r>
        <w:rPr>
          <w:noProof/>
          <w:color w:val="000000"/>
        </w:rPr>
        <w:t>Вид на плащането</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 xml:space="preserve"> производствени разходи въз основа на допълнителните разходи и пропуснатите приходи</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 xml:space="preserve"> включени трансакционни разходи</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 xml:space="preserve"> еднократно плащане</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 xml:space="preserve"> еднократна сума</w:t>
      </w:r>
    </w:p>
    <w:p w:rsidR="007A7DC5" w:rsidRDefault="007A7DC5" w:rsidP="007A7DC5">
      <w:pPr>
        <w:spacing w:before="20" w:after="20"/>
        <w:rPr>
          <w:color w:val="000000"/>
          <w:sz w:val="12"/>
        </w:rPr>
      </w:pPr>
    </w:p>
    <w:p w:rsidR="007A7DC5" w:rsidRDefault="007A7DC5" w:rsidP="007A7DC5">
      <w:pPr>
        <w:spacing w:before="20" w:after="20"/>
        <w:rPr>
          <w:color w:val="000000"/>
        </w:rPr>
      </w:pPr>
      <w:r>
        <w:rPr>
          <w:noProof/>
          <w:color w:val="000000"/>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40" w:after="40"/>
            </w:pPr>
            <w:r>
              <w:rPr>
                <w:noProof/>
              </w:rPr>
              <w:lastRenderedPageBreak/>
              <w:t>Подпомагането е за следните групи адаптирани сортове и култури по съответната операция:</w:t>
            </w:r>
          </w:p>
          <w:p w:rsidR="007A7DC5" w:rsidRDefault="007A7DC5" w:rsidP="00D16952">
            <w:pPr>
              <w:spacing w:before="40" w:after="40"/>
            </w:pPr>
            <w:r>
              <w:rPr>
                <w:noProof/>
              </w:rPr>
              <w:t>Операция № 1:</w:t>
            </w:r>
          </w:p>
          <w:p w:rsidR="007A7DC5" w:rsidRDefault="007A7DC5" w:rsidP="00D16952">
            <w:pPr>
              <w:spacing w:before="40" w:after="40"/>
            </w:pPr>
            <w:r>
              <w:rPr>
                <w:noProof/>
              </w:rPr>
              <w:t>1. Плодове - 723,48 евро/ха</w:t>
            </w:r>
          </w:p>
          <w:p w:rsidR="007A7DC5" w:rsidRDefault="007A7DC5" w:rsidP="00D16952">
            <w:pPr>
              <w:spacing w:before="40" w:after="40"/>
            </w:pPr>
            <w:r>
              <w:rPr>
                <w:noProof/>
              </w:rPr>
              <w:t>2. Зеленчуци - 991,90 евро/ха</w:t>
            </w:r>
          </w:p>
          <w:p w:rsidR="007A7DC5" w:rsidRDefault="007A7DC5" w:rsidP="00D16952">
            <w:pPr>
              <w:spacing w:before="40" w:after="40"/>
            </w:pPr>
            <w:r>
              <w:rPr>
                <w:noProof/>
              </w:rPr>
              <w:t xml:space="preserve">3. Билки - 578,78 евро/ха </w:t>
            </w:r>
          </w:p>
          <w:p w:rsidR="007A7DC5" w:rsidRDefault="007A7DC5" w:rsidP="00D16952">
            <w:pPr>
              <w:spacing w:before="40" w:after="40"/>
            </w:pPr>
            <w:r>
              <w:rPr>
                <w:noProof/>
              </w:rPr>
              <w:t>4. Десертно лозе - 651,13 евро/ха.</w:t>
            </w:r>
          </w:p>
          <w:p w:rsidR="007A7DC5" w:rsidRDefault="007A7DC5" w:rsidP="00D16952">
            <w:pPr>
              <w:spacing w:before="40" w:after="40"/>
            </w:pPr>
            <w:r>
              <w:rPr>
                <w:noProof/>
              </w:rPr>
              <w:t>Операция № 2:</w:t>
            </w:r>
          </w:p>
          <w:p w:rsidR="007A7DC5" w:rsidRDefault="007A7DC5" w:rsidP="00D16952">
            <w:pPr>
              <w:spacing w:before="40" w:after="40"/>
            </w:pPr>
            <w:r>
              <w:rPr>
                <w:noProof/>
              </w:rPr>
              <w:t>1. Плодове - 135,49 евро/ха</w:t>
            </w:r>
          </w:p>
          <w:p w:rsidR="007A7DC5" w:rsidRDefault="007A7DC5" w:rsidP="00D16952">
            <w:pPr>
              <w:spacing w:before="40" w:after="40"/>
            </w:pPr>
            <w:r>
              <w:rPr>
                <w:noProof/>
              </w:rPr>
              <w:t>2. Зеленчуци - 342,57 евро/ха</w:t>
            </w:r>
          </w:p>
          <w:p w:rsidR="007A7DC5" w:rsidRDefault="007A7DC5" w:rsidP="00D16952">
            <w:pPr>
              <w:spacing w:before="40" w:after="40"/>
            </w:pPr>
            <w:r>
              <w:rPr>
                <w:noProof/>
              </w:rPr>
              <w:t xml:space="preserve">3. Билки - 108,39 евро/ха </w:t>
            </w:r>
          </w:p>
          <w:p w:rsidR="007A7DC5" w:rsidRDefault="007A7DC5" w:rsidP="00D16952">
            <w:pPr>
              <w:spacing w:before="40" w:after="40"/>
            </w:pPr>
            <w:r>
              <w:rPr>
                <w:noProof/>
              </w:rPr>
              <w:t>4. Десертно лозе - 121,94 евро/ха</w:t>
            </w:r>
          </w:p>
          <w:p w:rsidR="007A7DC5" w:rsidRDefault="007A7DC5" w:rsidP="00D16952">
            <w:pPr>
              <w:spacing w:before="40" w:after="40"/>
            </w:pPr>
            <w:r>
              <w:rPr>
                <w:noProof/>
              </w:rPr>
              <w:t>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7A7DC5" w:rsidRDefault="007A7DC5" w:rsidP="007A7DC5">
      <w:pPr>
        <w:spacing w:before="20" w:after="20"/>
        <w:rPr>
          <w:color w:val="000000"/>
        </w:rPr>
      </w:pPr>
      <w:r>
        <w:rPr>
          <w:noProof/>
          <w:color w:val="000000"/>
        </w:rPr>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40" w:after="40"/>
            </w:pPr>
            <w:r>
              <w:rPr>
                <w:noProof/>
              </w:rPr>
              <w:t>Промяната в сортовата структура води до по-високи разходи, свързани с презасаждането. За земеделските стопани закупуването на качествен сертифициран посевен и посадъчен материал от утвърдения Списък на по-високи цени е свързано с увеличение на техните разходи. При овощните насаждения и десертните лозя се налага да се влагат средства няколко години, докато встъпят в плододаване. През тези години трябва да се отчетат пропуснатите ползи, тъй като се натрупват разходи, без да има приходи.</w:t>
            </w:r>
          </w:p>
        </w:tc>
      </w:tr>
    </w:tbl>
    <w:p w:rsidR="007A7DC5" w:rsidRDefault="007A7DC5" w:rsidP="007A7DC5">
      <w:pPr>
        <w:spacing w:before="20" w:after="20"/>
        <w:rPr>
          <w:color w:val="000000"/>
        </w:rPr>
      </w:pPr>
      <w:r>
        <w:rPr>
          <w:noProof/>
          <w:color w:val="000000"/>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40" w:after="40"/>
            </w:pPr>
            <w:r>
              <w:rPr>
                <w:noProof/>
              </w:rPr>
              <w:t>За изчисление на конкретните нива на подпомагане в България е използван подход, оценяващ пропуснатите ползи и направените допълнителни разходи за бенефициентите, поемащи ангажимент за отглеждането на култури и сортовеот приоритетните сектори - плодове, зеленчуци, десертни лозя и билки, които притежават потенциал за адаптиране към измененията на климата и са устойчиви на промените свързани със засушаването.</w:t>
            </w:r>
          </w:p>
        </w:tc>
      </w:tr>
    </w:tbl>
    <w:p w:rsidR="007A7DC5" w:rsidRDefault="007A7DC5" w:rsidP="007A7DC5">
      <w:pPr>
        <w:pStyle w:val="Heading5"/>
        <w:spacing w:before="20" w:after="20"/>
        <w:rPr>
          <w:b w:val="0"/>
          <w:i w:val="0"/>
          <w:color w:val="000000"/>
          <w:sz w:val="24"/>
        </w:rPr>
      </w:pPr>
      <w:bookmarkStart w:id="8" w:name="_Toc256000095"/>
      <w:r>
        <w:rPr>
          <w:b w:val="0"/>
          <w:i w:val="0"/>
          <w:noProof/>
          <w:color w:val="000000"/>
          <w:sz w:val="24"/>
        </w:rPr>
        <w:t>8 Информация относно оценката за държавна помощ</w:t>
      </w:r>
      <w:bookmarkEnd w:id="8"/>
    </w:p>
    <w:p w:rsidR="007A7DC5" w:rsidRDefault="007A7DC5" w:rsidP="007A7DC5">
      <w:pPr>
        <w:spacing w:before="20" w:after="20"/>
        <w:rPr>
          <w:color w:val="000000"/>
        </w:rPr>
      </w:pPr>
      <w:r>
        <w:rPr>
          <w:noProof/>
          <w:color w:val="000000"/>
        </w:rPr>
        <w:t>Интервенцията попада извън приложното поле на член 42 от ДФЕС и подлежи на оценка за държавна помощ:</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 xml:space="preserve"> Да      </w:t>
      </w:r>
      <w:r>
        <w:rPr>
          <w:rFonts w:ascii="Wingdings" w:eastAsia="Wingdings" w:hAnsi="Wingdings" w:cs="Wingdings"/>
          <w:noProof/>
          <w:color w:val="000000"/>
        </w:rPr>
        <w:t></w:t>
      </w:r>
      <w:r>
        <w:rPr>
          <w:noProof/>
          <w:color w:val="000000"/>
        </w:rPr>
        <w:t xml:space="preserve"> Не      </w:t>
      </w:r>
      <w:r>
        <w:rPr>
          <w:rFonts w:ascii="Wingdings" w:eastAsia="Wingdings" w:hAnsi="Wingdings" w:cs="Wingdings"/>
          <w:noProof/>
          <w:color w:val="000000"/>
        </w:rPr>
        <w:t></w:t>
      </w:r>
      <w:r>
        <w:rPr>
          <w:noProof/>
          <w:color w:val="000000"/>
        </w:rPr>
        <w:t xml:space="preserve"> Смесено участие      </w:t>
      </w:r>
    </w:p>
    <w:p w:rsidR="007A7DC5" w:rsidRDefault="007A7DC5" w:rsidP="007A7DC5">
      <w:pPr>
        <w:spacing w:before="20" w:after="20"/>
        <w:rPr>
          <w:color w:val="000000"/>
        </w:rPr>
      </w:pPr>
    </w:p>
    <w:p w:rsidR="007A7DC5" w:rsidRDefault="007A7DC5" w:rsidP="007A7DC5">
      <w:pPr>
        <w:pStyle w:val="Heading5"/>
        <w:spacing w:before="20" w:after="20"/>
        <w:rPr>
          <w:b w:val="0"/>
          <w:i w:val="0"/>
          <w:color w:val="000000"/>
          <w:sz w:val="24"/>
        </w:rPr>
      </w:pPr>
      <w:bookmarkStart w:id="9" w:name="_Toc256000096"/>
      <w:r>
        <w:rPr>
          <w:b w:val="0"/>
          <w:i w:val="0"/>
          <w:noProof/>
          <w:color w:val="000000"/>
          <w:sz w:val="24"/>
        </w:rPr>
        <w:t>9 Допълнителни въпроси/информация за вида на интервенцията</w:t>
      </w:r>
      <w:bookmarkEnd w:id="9"/>
    </w:p>
    <w:p w:rsidR="007A7DC5" w:rsidRDefault="007A7DC5" w:rsidP="007A7DC5">
      <w:pPr>
        <w:spacing w:before="20" w:after="20"/>
        <w:rPr>
          <w:color w:val="000000"/>
        </w:rPr>
      </w:pPr>
      <w:r>
        <w:rPr>
          <w:noProof/>
          <w:color w:val="000000"/>
        </w:rPr>
        <w:t>Какви са моделите на ангажимента(ите) в интервенцията?</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 xml:space="preserve"> на база резултати (с възможност за избор)</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 xml:space="preserve"> на база управление (с възможност за избор)</w:t>
      </w:r>
    </w:p>
    <w:p w:rsidR="007A7DC5" w:rsidRDefault="007A7DC5" w:rsidP="007A7DC5">
      <w:pPr>
        <w:spacing w:before="20" w:after="20"/>
        <w:rPr>
          <w:color w:val="000000"/>
        </w:rPr>
      </w:pPr>
      <w:r>
        <w:rPr>
          <w:rFonts w:ascii="Wingdings" w:eastAsia="Wingdings" w:hAnsi="Wingdings" w:cs="Wingdings"/>
          <w:noProof/>
          <w:color w:val="000000"/>
        </w:rPr>
        <w:t></w:t>
      </w:r>
      <w:r>
        <w:rPr>
          <w:noProof/>
          <w:color w:val="000000"/>
        </w:rPr>
        <w:t xml:space="preserve"> хибридни (основани на управление и резултати)</w:t>
      </w:r>
    </w:p>
    <w:p w:rsidR="007A7DC5" w:rsidRDefault="007A7DC5" w:rsidP="007A7DC5">
      <w:pPr>
        <w:spacing w:before="20" w:after="20"/>
        <w:rPr>
          <w:color w:val="000000"/>
        </w:rPr>
      </w:pPr>
    </w:p>
    <w:p w:rsidR="007A7DC5" w:rsidRDefault="007A7DC5" w:rsidP="007A7DC5">
      <w:pPr>
        <w:spacing w:before="20" w:after="20"/>
        <w:rPr>
          <w:color w:val="000000"/>
        </w:rPr>
      </w:pPr>
      <w:r>
        <w:rPr>
          <w:noProof/>
          <w:color w:val="000000"/>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40" w:after="40"/>
            </w:pPr>
            <w:r>
              <w:rPr>
                <w:noProof/>
              </w:rPr>
              <w:lastRenderedPageBreak/>
              <w:t>Поемат ангажименти за отглеждането на култури и сортове от приоритетните сектори - плодове, зеленчуци, десертни лозя и билки, които притежават потенциал за адаптиране към измененията на климата и са устойчиви на промените, свързани със засушаването, причинено от промените в температурите в утвърдени Списък със сортове и култури изготвен от Селскостопанска академия.</w:t>
            </w:r>
          </w:p>
          <w:p w:rsidR="007A7DC5" w:rsidRDefault="007A7DC5" w:rsidP="00D16952">
            <w:pPr>
              <w:spacing w:before="40" w:after="40"/>
            </w:pPr>
            <w:r>
              <w:rPr>
                <w:noProof/>
              </w:rPr>
              <w:t>Площта за извършване на дейностите по интервенцията може да бъде намалена с до 10 %, като за всяка година поне 90 % от площта на трайните насаждения се припокрива географски с площта, за която има поет ангажимент.</w:t>
            </w:r>
          </w:p>
          <w:p w:rsidR="007A7DC5" w:rsidRDefault="007A7DC5" w:rsidP="00D16952">
            <w:pPr>
              <w:spacing w:before="40" w:after="40"/>
            </w:pPr>
            <w:r>
              <w:rPr>
                <w:noProof/>
              </w:rPr>
              <w:t>Когато площта, за която има поет ангажимент бъде намалена с повече от 10%, бенефициентът може да продължи изпълнението на ангажимента с останалата площ, като следва да възстанови получената финансова помощ за незаявените одобрени площи от ангажимента.</w:t>
            </w:r>
          </w:p>
          <w:p w:rsidR="007A7DC5" w:rsidRDefault="007A7DC5" w:rsidP="00D16952">
            <w:pPr>
              <w:spacing w:before="40" w:after="40"/>
            </w:pPr>
            <w:r>
              <w:rPr>
                <w:noProof/>
              </w:rPr>
              <w:t>Поетият ангажимент по съответната операция от земеделския стопанин може да бъде увеличен с нови площи в периода на изпълнение на ангажимента, като същият може да бъде разширяван със заявените нови площи, които отговарят на изискванията за одобрение при наличие на финансови средства за оставащия период до максимално допустимата площ по интервенцията. Държавен фонд „Земеделие“ уведомява земеделският стопанин за новия размер на площите в одобрен ангажимент.</w:t>
            </w:r>
          </w:p>
        </w:tc>
      </w:tr>
    </w:tbl>
    <w:p w:rsidR="007A7DC5" w:rsidRDefault="007A7DC5" w:rsidP="007A7DC5">
      <w:pPr>
        <w:spacing w:before="20" w:after="20"/>
        <w:rPr>
          <w:color w:val="000000"/>
          <w:sz w:val="0"/>
        </w:rPr>
      </w:pPr>
    </w:p>
    <w:p w:rsidR="007A7DC5" w:rsidRDefault="007A7DC5" w:rsidP="007A7DC5">
      <w:pPr>
        <w:spacing w:before="20" w:after="20"/>
        <w:rPr>
          <w:color w:val="000000"/>
        </w:rPr>
      </w:pPr>
      <w:r>
        <w:rPr>
          <w:noProof/>
          <w:color w:val="000000"/>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Pr="00E0601F" w:rsidRDefault="007A7DC5" w:rsidP="00D16952">
            <w:pPr>
              <w:spacing w:before="40" w:after="40"/>
              <w:rPr>
                <w:noProof/>
              </w:rPr>
            </w:pPr>
            <w:r>
              <w:rPr>
                <w:noProof/>
              </w:rPr>
              <w:t>Задълженията се поемат за период от 5 години</w:t>
            </w:r>
            <w:r w:rsidR="00F92345">
              <w:rPr>
                <w:noProof/>
                <w:lang w:val="bg-BG"/>
              </w:rPr>
              <w:t>.</w:t>
            </w:r>
          </w:p>
          <w:p w:rsidR="00F92345" w:rsidRPr="00F92345" w:rsidRDefault="00F92345" w:rsidP="006A0B44">
            <w:pPr>
              <w:spacing w:before="40" w:after="40"/>
              <w:rPr>
                <w:lang w:val="bg-BG"/>
              </w:rPr>
            </w:pPr>
            <w:r w:rsidRPr="00F92345">
              <w:rPr>
                <w:noProof/>
                <w:color w:val="FF0000"/>
                <w:lang w:val="bg-BG"/>
              </w:rPr>
              <w:t xml:space="preserve">От 2026 г. по интервенцията могат да се поемат </w:t>
            </w:r>
            <w:r w:rsidR="00E0601F">
              <w:rPr>
                <w:noProof/>
                <w:color w:val="FF0000"/>
                <w:lang w:val="bg-BG"/>
              </w:rPr>
              <w:t xml:space="preserve">нови </w:t>
            </w:r>
            <w:r w:rsidRPr="00F92345">
              <w:rPr>
                <w:noProof/>
                <w:color w:val="FF0000"/>
                <w:lang w:val="bg-BG"/>
              </w:rPr>
              <w:t>ангажименти с продължителност</w:t>
            </w:r>
            <w:bookmarkStart w:id="10" w:name="_GoBack"/>
            <w:bookmarkEnd w:id="10"/>
            <w:r w:rsidRPr="00BD0FD2">
              <w:rPr>
                <w:noProof/>
                <w:color w:val="FF0000"/>
                <w:lang w:val="bg-BG"/>
              </w:rPr>
              <w:t xml:space="preserve"> </w:t>
            </w:r>
            <w:r w:rsidRPr="00F92345">
              <w:rPr>
                <w:noProof/>
                <w:color w:val="FF0000"/>
                <w:lang w:val="bg-BG"/>
              </w:rPr>
              <w:t>3 години.</w:t>
            </w:r>
          </w:p>
        </w:tc>
      </w:tr>
    </w:tbl>
    <w:p w:rsidR="007A7DC5" w:rsidRDefault="007A7DC5" w:rsidP="007A7DC5">
      <w:pPr>
        <w:spacing w:before="20" w:after="20"/>
        <w:rPr>
          <w:color w:val="000000"/>
          <w:sz w:val="0"/>
        </w:rPr>
      </w:pPr>
    </w:p>
    <w:p w:rsidR="007A7DC5" w:rsidRDefault="007A7DC5" w:rsidP="007A7DC5">
      <w:pPr>
        <w:spacing w:before="20" w:after="20"/>
        <w:rPr>
          <w:color w:val="000000"/>
        </w:rPr>
      </w:pPr>
    </w:p>
    <w:p w:rsidR="007A7DC5" w:rsidRDefault="007A7DC5" w:rsidP="007A7DC5">
      <w:pPr>
        <w:pStyle w:val="Heading5"/>
        <w:spacing w:before="20" w:after="20"/>
        <w:rPr>
          <w:b w:val="0"/>
          <w:i w:val="0"/>
          <w:color w:val="000000"/>
          <w:sz w:val="24"/>
        </w:rPr>
      </w:pPr>
      <w:bookmarkStart w:id="11" w:name="_Toc256000097"/>
      <w:r>
        <w:rPr>
          <w:b w:val="0"/>
          <w:i w:val="0"/>
          <w:noProof/>
          <w:color w:val="000000"/>
          <w:sz w:val="24"/>
        </w:rPr>
        <w:t>10 Съответствие с правилата на СТО</w:t>
      </w:r>
      <w:bookmarkEnd w:id="11"/>
    </w:p>
    <w:p w:rsidR="007A7DC5" w:rsidRDefault="007A7DC5" w:rsidP="007A7DC5">
      <w:pPr>
        <w:spacing w:before="20" w:after="20"/>
        <w:rPr>
          <w:color w:val="000000"/>
        </w:rPr>
      </w:pPr>
      <w:r>
        <w:rPr>
          <w:noProof/>
          <w:color w:val="000000"/>
        </w:rPr>
        <w:t xml:space="preserve"> Зелена кутия</w:t>
      </w:r>
    </w:p>
    <w:p w:rsidR="007A7DC5" w:rsidRDefault="007A7DC5" w:rsidP="007A7DC5">
      <w:pPr>
        <w:spacing w:before="20" w:after="20"/>
        <w:rPr>
          <w:color w:val="000000"/>
        </w:rPr>
      </w:pPr>
      <w:r>
        <w:rPr>
          <w:noProof/>
          <w:color w:val="000000"/>
        </w:rPr>
        <w:t>Параграф 12 от приложение 2 към Споразумението за СТО</w:t>
      </w:r>
    </w:p>
    <w:p w:rsidR="007A7DC5" w:rsidRDefault="007A7DC5" w:rsidP="007A7DC5">
      <w:pPr>
        <w:spacing w:before="20" w:after="20"/>
        <w:rPr>
          <w:color w:val="000000"/>
        </w:rPr>
      </w:pPr>
      <w:r>
        <w:rPr>
          <w:noProof/>
          <w:color w:val="000000"/>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6"/>
      </w:tblGrid>
      <w:tr w:rsidR="007A7DC5" w:rsidTr="00D16952">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7A7DC5" w:rsidRDefault="007A7DC5" w:rsidP="00D16952">
            <w:pPr>
              <w:spacing w:before="40" w:after="40"/>
            </w:pPr>
            <w:r>
              <w:rPr>
                <w:noProof/>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 2021/2115 на Европейския парламент и на Съвета от 2 декември 2021 година, като сумата на плащането е ограничено до пропуснатите разходи и загуба на доходи в изпълнение на ангажимента.</w:t>
            </w:r>
          </w:p>
        </w:tc>
      </w:tr>
    </w:tbl>
    <w:p w:rsidR="007A7DC5" w:rsidRDefault="007A7DC5" w:rsidP="007A7DC5">
      <w:pPr>
        <w:pStyle w:val="Heading5"/>
        <w:spacing w:before="20" w:after="20"/>
        <w:rPr>
          <w:b w:val="0"/>
          <w:i w:val="0"/>
          <w:color w:val="000000"/>
          <w:sz w:val="24"/>
        </w:rPr>
      </w:pPr>
      <w:bookmarkStart w:id="12" w:name="_Toc256000098"/>
      <w:r>
        <w:rPr>
          <w:b w:val="0"/>
          <w:i w:val="0"/>
          <w:noProof/>
          <w:color w:val="000000"/>
          <w:sz w:val="24"/>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2886"/>
        <w:gridCol w:w="1730"/>
        <w:gridCol w:w="1738"/>
        <w:gridCol w:w="1811"/>
      </w:tblGrid>
      <w:tr w:rsidR="007A7DC5" w:rsidTr="00D16952">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A7DC5" w:rsidRDefault="007A7DC5" w:rsidP="00D16952">
            <w:pPr>
              <w:spacing w:before="20" w:after="20"/>
              <w:rPr>
                <w:b/>
                <w:color w:val="000000"/>
                <w:sz w:val="20"/>
              </w:rPr>
            </w:pPr>
            <w:r>
              <w:rPr>
                <w:b/>
                <w:noProof/>
                <w:color w:val="000000"/>
                <w:sz w:val="20"/>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A7DC5" w:rsidRDefault="007A7DC5" w:rsidP="00D16952">
            <w:pPr>
              <w:spacing w:before="20" w:after="20"/>
              <w:rPr>
                <w:b/>
                <w:color w:val="000000"/>
                <w:sz w:val="20"/>
              </w:rPr>
            </w:pPr>
            <w:r>
              <w:rPr>
                <w:b/>
                <w:noProof/>
                <w:color w:val="000000"/>
                <w:sz w:val="20"/>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A7DC5" w:rsidRDefault="007A7DC5" w:rsidP="00D16952">
            <w:pPr>
              <w:spacing w:before="20" w:after="20"/>
              <w:rPr>
                <w:b/>
                <w:color w:val="000000"/>
                <w:sz w:val="20"/>
              </w:rPr>
            </w:pPr>
            <w:r>
              <w:rPr>
                <w:b/>
                <w:noProof/>
                <w:color w:val="000000"/>
                <w:sz w:val="20"/>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A7DC5" w:rsidRDefault="007A7DC5" w:rsidP="00D16952">
            <w:pPr>
              <w:spacing w:before="20" w:after="20"/>
              <w:rPr>
                <w:b/>
                <w:color w:val="000000"/>
                <w:sz w:val="20"/>
              </w:rPr>
            </w:pPr>
            <w:r>
              <w:rPr>
                <w:b/>
                <w:noProof/>
                <w:color w:val="000000"/>
                <w:sz w:val="20"/>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7A7DC5" w:rsidRDefault="007A7DC5" w:rsidP="00D16952">
            <w:pPr>
              <w:spacing w:before="20" w:after="20"/>
              <w:rPr>
                <w:color w:val="000000"/>
                <w:sz w:val="20"/>
              </w:rPr>
            </w:pPr>
            <w:r>
              <w:rPr>
                <w:b/>
                <w:noProof/>
                <w:color w:val="000000"/>
                <w:sz w:val="20"/>
              </w:rPr>
              <w:t>Максимална ставка</w:t>
            </w:r>
          </w:p>
        </w:tc>
      </w:tr>
      <w:tr w:rsidR="007A7DC5" w:rsidTr="00D16952">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A7DC5" w:rsidRDefault="007A7DC5" w:rsidP="00D16952">
            <w:pPr>
              <w:spacing w:before="20" w:after="20"/>
              <w:rPr>
                <w:color w:val="000000"/>
                <w:sz w:val="20"/>
              </w:rPr>
            </w:pPr>
            <w:r>
              <w:rPr>
                <w:noProof/>
                <w:color w:val="000000"/>
                <w:sz w:val="20"/>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A7DC5" w:rsidRDefault="007A7DC5" w:rsidP="00D16952">
            <w:pPr>
              <w:spacing w:before="20" w:after="20"/>
              <w:rPr>
                <w:color w:val="000000"/>
                <w:sz w:val="20"/>
              </w:rPr>
            </w:pPr>
            <w:r>
              <w:rPr>
                <w:noProof/>
                <w:color w:val="000000"/>
                <w:sz w:val="20"/>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A7DC5" w:rsidRDefault="007A7DC5" w:rsidP="00D16952">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A7DC5" w:rsidRDefault="007A7DC5" w:rsidP="00D16952">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7A7DC5" w:rsidRDefault="007A7DC5" w:rsidP="00D16952">
            <w:pPr>
              <w:spacing w:before="20" w:after="20"/>
              <w:jc w:val="right"/>
              <w:rPr>
                <w:color w:val="000000"/>
                <w:sz w:val="20"/>
              </w:rPr>
            </w:pPr>
            <w:r>
              <w:rPr>
                <w:noProof/>
                <w:color w:val="000000"/>
                <w:sz w:val="20"/>
              </w:rPr>
              <w:t>85,00%</w:t>
            </w:r>
          </w:p>
        </w:tc>
      </w:tr>
    </w:tbl>
    <w:p w:rsidR="00225E98" w:rsidRDefault="00225E98"/>
    <w:sectPr w:rsidR="00225E98">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CA6"/>
    <w:rsid w:val="00225E98"/>
    <w:rsid w:val="006A0B44"/>
    <w:rsid w:val="007A7DC5"/>
    <w:rsid w:val="00A36187"/>
    <w:rsid w:val="00BD0FD2"/>
    <w:rsid w:val="00C52CA6"/>
    <w:rsid w:val="00E0601F"/>
    <w:rsid w:val="00F92345"/>
    <w:rsid w:val="00FB6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5E57A"/>
  <w15:chartTrackingRefBased/>
  <w15:docId w15:val="{56210CC1-419A-44C9-9EF3-A09C523F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7DC5"/>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7A7DC5"/>
    <w:pPr>
      <w:keepNext/>
      <w:spacing w:before="240" w:after="60"/>
      <w:outlineLvl w:val="3"/>
    </w:pPr>
    <w:rPr>
      <w:b/>
      <w:bCs/>
      <w:sz w:val="28"/>
      <w:szCs w:val="28"/>
    </w:rPr>
  </w:style>
  <w:style w:type="paragraph" w:styleId="Heading5">
    <w:name w:val="heading 5"/>
    <w:basedOn w:val="Normal"/>
    <w:next w:val="Normal"/>
    <w:link w:val="Heading5Char"/>
    <w:qFormat/>
    <w:rsid w:val="007A7DC5"/>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A7DC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7A7DC5"/>
    <w:rPr>
      <w:rFonts w:ascii="Times New Roman" w:eastAsia="Times New Roman" w:hAnsi="Times New Roman"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957</TotalTime>
  <Pages>8</Pages>
  <Words>3081</Words>
  <Characters>17565</Characters>
  <Application>Microsoft Office Word</Application>
  <DocSecurity>0</DocSecurity>
  <Lines>146</Lines>
  <Paragraphs>41</Paragraphs>
  <ScaleCrop>false</ScaleCrop>
  <Company/>
  <LinksUpToDate>false</LinksUpToDate>
  <CharactersWithSpaces>20605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Lyubomira Tsvetanova</dc:creator>
  <cp:keywords/>
  <dc:description/>
  <cp:lastModifiedBy>Miglena Hadzhiyska</cp:lastModifiedBy>
  <cp:revision>8</cp:revision>
  <dcterms:created xsi:type="dcterms:W3CDTF">2025-08-13T14:18:00Z</dcterms:created>
  <dcterms:modified xsi:type="dcterms:W3CDTF">2025-09-05T11:22:00Z</dcterms:modified>
</cp:coreProperties>
</file>